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5.png" ContentType="image/png"/>
  <Override PartName="/word/media/rId48.png" ContentType="image/png"/>
  <Override PartName="/word/media/rId51.png" ContentType="image/png"/>
  <Override PartName="/word/media/rId54.png" ContentType="image/png"/>
  <Override PartName="/word/media/rId42.png" ContentType="image/png"/>
  <Override PartName="/word/media/rId60.png" ContentType="image/png"/>
  <Override PartName="/word/media/rId63.png" ContentType="image/png"/>
  <Override PartName="/word/media/rId57.png" ContentType="image/png"/>
  <Override PartName="/word/media/rId33.png" ContentType="image/png"/>
  <Override PartName="/word/media/rId36.png" ContentType="image/png"/>
  <Override PartName="/word/media/rId30.png" ContentType="image/png"/>
  <Override PartName="/word/media/rId96.png" ContentType="image/png"/>
  <Override PartName="/word/media/rId93.png" ContentType="image/png"/>
  <Override PartName="/word/media/rId90.png" ContentType="image/png"/>
  <Override PartName="/word/media/rId66.png" ContentType="image/png"/>
  <Override PartName="/word/media/rId84.png" ContentType="image/png"/>
  <Override PartName="/word/media/rId69.png" ContentType="image/png"/>
  <Override PartName="/word/media/rId87.png" ContentType="image/png"/>
  <Override PartName="/word/media/rId21.jpg" ContentType="image/jpeg"/>
  <Override PartName="/word/media/rId75.png" ContentType="image/png"/>
  <Override PartName="/word/media/rId81.png" ContentType="image/png"/>
  <Override PartName="/word/media/rId72.png" ContentType="image/png"/>
  <Override PartName="/word/media/rId78.png" ContentType="image/png"/>
  <Override PartName="/word/media/rId27.png" ContentType="image/png"/>
  <Override PartName="/word/media/rId24.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Collaborative estimation and evaluation of SARS-CoV-2 variant nowcasting in the U.S.</w:t>
      </w:r>
    </w:p>
    <w:p>
      <w:pPr>
        <w:pStyle w:val="Date"/>
      </w:pPr>
      <w:r>
        <w:t xml:space="preserve">2025-11-11</w:t>
      </w:r>
    </w:p>
    <w:bookmarkStart w:id="20" w:name="Xa3bfc1bcbd0e8eb5c26c2634ef73eb5baaad3b4"/>
    <w:p>
      <w:pPr>
        <w:pStyle w:val="Heading1"/>
      </w:pPr>
      <w:r>
        <w:t xml:space="preserve">Additional models not evaluated in this work</w:t>
      </w:r>
    </w:p>
    <w:p>
      <w:pPr>
        <w:pStyle w:val="FirstParagraph"/>
      </w:pPr>
      <w:r>
        <w:t xml:space="preserve">The following models began submissions following the initial assessment period (October 9th, 2024 to June 4th, 2025).</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Model name</w:t>
            </w:r>
          </w:p>
        </w:tc>
        <w:tc>
          <w:tcPr/>
          <w:p>
            <w:pPr>
              <w:pStyle w:val="Compact"/>
            </w:pPr>
            <w:r>
              <w:t xml:space="preserve">Description</w:t>
            </w:r>
          </w:p>
        </w:tc>
        <w:tc>
          <w:tcPr/>
          <w:p>
            <w:pPr>
              <w:pStyle w:val="Compact"/>
            </w:pPr>
            <w:r>
              <w:t xml:space="preserve">Citation</w:t>
            </w:r>
          </w:p>
        </w:tc>
        <w:tc>
          <w:tcPr/>
          <w:p>
            <w:pPr>
              <w:pStyle w:val="Compact"/>
            </w:pPr>
            <w:r>
              <w:t xml:space="preserve">Data Sources</w:t>
            </w:r>
          </w:p>
        </w:tc>
        <w:tc>
          <w:tcPr/>
          <w:p>
            <w:pPr>
              <w:pStyle w:val="Compact"/>
            </w:pPr>
            <w:r>
              <w:t xml:space="preserve">Locations</w:t>
            </w:r>
          </w:p>
        </w:tc>
        <w:tc>
          <w:tcPr/>
          <w:p>
            <w:pPr>
              <w:pStyle w:val="Compact"/>
            </w:pPr>
            <w:r>
              <w:t xml:space="preserve">Output Type</w:t>
            </w:r>
          </w:p>
        </w:tc>
        <w:tc>
          <w:tcPr/>
          <w:p>
            <w:pPr>
              <w:pStyle w:val="Compact"/>
            </w:pPr>
            <w:r>
              <w:t xml:space="preserve">Ensemble?</w:t>
            </w:r>
          </w:p>
        </w:tc>
      </w:tr>
      <w:tr>
        <w:tc>
          <w:tcPr/>
          <w:p>
            <w:pPr>
              <w:pStyle w:val="Compact"/>
            </w:pPr>
            <w:r>
              <w:rPr>
                <w:rStyle w:val="VerbatimChar"/>
              </w:rPr>
              <w:t xml:space="preserve">open_hier_mlr</w:t>
            </w:r>
          </w:p>
        </w:tc>
        <w:tc>
          <w:tcPr/>
          <w:p>
            <w:pPr>
              <w:pStyle w:val="Compact"/>
            </w:pPr>
            <w:r>
              <w:t xml:space="preserve">A Bayesian hierarchical multinomial logistic regression (MLR) model for nowcasting COVID variants using variant counts based on INSDC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International Nucleotide Sequence Database Collaboration (INSDC)</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gisaid_hier_mlr</w:t>
            </w:r>
          </w:p>
        </w:tc>
        <w:tc>
          <w:tcPr/>
          <w:p>
            <w:pPr>
              <w:pStyle w:val="Compact"/>
            </w:pPr>
            <w:r>
              <w:t xml:space="preserve">A Bayesian hierarchical multinomial logistic regression (MLR) model for nowcasting COVID variants using variant counts based on GISAID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Global Initiative on Sharing All Influenza Data (GISAID)</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ensemble</w:t>
            </w:r>
          </w:p>
        </w:tc>
        <w:tc>
          <w:tcPr/>
          <w:p>
            <w:pPr>
              <w:pStyle w:val="Compact"/>
            </w:pPr>
            <w:r>
              <w:t xml:space="preserve">An ensemble of the hub forecasts, created by taking an equally weighted sample of all forecasts that submit samples for a given week, using the function linear_pool from the hubEnsembles package.</w:t>
            </w:r>
          </w:p>
        </w:tc>
        <w:tc>
          <w:tcPr/>
          <w:p>
            <w:pPr>
              <w:pStyle w:val="Compact"/>
            </w:pPr>
            <w:r>
              <w:t xml:space="preserve">https://github.com/hubverse-org/hubEnsembles/tree/main</w:t>
            </w:r>
          </w:p>
        </w:tc>
        <w:tc>
          <w:tcPr/>
          <w:p>
            <w:pPr>
              <w:pStyle w:val="Compact"/>
            </w:pPr>
            <w:r>
              <w:t xml:space="preserve">Other model submission files</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PyHMLR</w:t>
            </w:r>
          </w:p>
        </w:tc>
        <w:tc>
          <w:tcPr/>
          <w:p>
            <w:pPr>
              <w:pStyle w:val="Compact"/>
            </w:pPr>
            <w:r>
              <w:t xml:space="preserve">A Bayesian hierarchical multinomial logistic regression model with Dirichlet-Multinomial observation process. The model uses hierarchical hyperpriors to enable partial pooling across locations and clades. Location-specific concentration parameters allow the model to adaptively learn appropriate uncertainty levels for each location. Linear trends are modeled in logit space with standardized time variables.</w:t>
            </w:r>
          </w:p>
        </w:tc>
        <w:tc>
          <w:tcPr/>
          <w:p>
            <w:pPr>
              <w:pStyle w:val="Compact"/>
            </w:pPr>
            <w:r>
              <w:t xml:space="preserve">https://github.com/trobacker/pymc_modeling</w:t>
            </w:r>
          </w:p>
        </w:tc>
        <w:tc>
          <w:tcPr/>
          <w:p>
            <w:pPr>
              <w:pStyle w:val="Compact"/>
            </w:pPr>
            <w:r>
              <w:t xml:space="preserve">COVID Variant Nowcast Hub S3 target data</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bl>
    <w:bookmarkEnd w:id="20"/>
    <w:bookmarkStart w:id="102" w:name="additional-figures"/>
    <w:p>
      <w:pPr>
        <w:pStyle w:val="Heading1"/>
      </w:pPr>
      <w:r>
        <w:t xml:space="preserve">Additional figures</w:t>
      </w:r>
    </w:p>
    <w:p>
      <w:pPr>
        <w:pStyle w:val="CaptionedFigure"/>
      </w:pPr>
      <w:r>
        <w:drawing>
          <wp:inline>
            <wp:extent cx="5334000" cy="5334000"/>
            <wp:effectExtent b="0" l="0" r="0" t="0"/>
            <wp:docPr descr="Fig. S1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 title="" id="22" name="Picture"/>
            <a:graphic>
              <a:graphicData uri="http://schemas.openxmlformats.org/drawingml/2006/picture">
                <pic:pic>
                  <pic:nvPicPr>
                    <pic:cNvPr descr="../output/figs/supp/data_lags_by_week.jpe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w:t>
      </w:r>
    </w:p>
    <w:p>
      <w:pPr>
        <w:pStyle w:val="CaptionedFigure"/>
      </w:pPr>
      <w:r>
        <w:drawing>
          <wp:inline>
            <wp:extent cx="5334000" cy="4445000"/>
            <wp:effectExtent b="0" l="0" r="0" t="0"/>
            <wp:docPr descr="Fig. S2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 title="" id="25" name="Picture"/>
            <a:graphic>
              <a:graphicData uri="http://schemas.openxmlformats.org/drawingml/2006/picture">
                <pic:pic>
                  <pic:nvPicPr>
                    <pic:cNvPr descr="../output/figs/supp/prop_no_partial_obs_overall.png" id="26" name="Picture"/>
                    <pic:cNvPicPr>
                      <a:picLocks noChangeArrowheads="1" noChangeAspect="1"/>
                    </pic:cNvPicPr>
                  </pic:nvPicPr>
                  <pic:blipFill>
                    <a:blip r:embed="rId24"/>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S2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w:t>
      </w:r>
    </w:p>
    <w:p>
      <w:pPr>
        <w:pStyle w:val="CaptionedFigure"/>
      </w:pPr>
      <w:r>
        <w:drawing>
          <wp:inline>
            <wp:extent cx="5334000" cy="6667499"/>
            <wp:effectExtent b="0" l="0" r="0" t="0"/>
            <wp:docPr descr="Fig. S3 Proportion of evaluated days that contain partial observations as of the nowcast date by nowcast horizon for each location across all nowcast dates. Days which had partial observations as of the nowcast date are excluded from the main text evaluation analyses." title="" id="28" name="Picture"/>
            <a:graphic>
              <a:graphicData uri="http://schemas.openxmlformats.org/drawingml/2006/picture">
                <pic:pic>
                  <pic:nvPicPr>
                    <pic:cNvPr descr="../output/figs/supp/prop_no_partial_obs_loc.png" id="29" name="Picture"/>
                    <pic:cNvPicPr>
                      <a:picLocks noChangeArrowheads="1" noChangeAspect="1"/>
                    </pic:cNvPicPr>
                  </pic:nvPicPr>
                  <pic:blipFill>
                    <a:blip r:embed="rId2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S3 Proportion of evaluated days that contain partial observations as of the nowcast date by nowcast horizon for each location across all nowcast dates. Days which had partial observations as of the nowcast date are excluded from the main text evaluation analyses.</w:t>
      </w:r>
    </w:p>
    <w:p>
      <w:pPr>
        <w:pStyle w:val="CaptionedFigure"/>
      </w:pPr>
      <w:r>
        <w:drawing>
          <wp:inline>
            <wp:extent cx="5334000" cy="6667500"/>
            <wp:effectExtent b="0" l="0" r="0" t="0"/>
            <wp:docPr descr="Fig. S4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 &lt; 1 indicates improved performance over the Hub-baseline, RSS &gt; 1 indicates poorer performance. (E &amp; G). Absolute energy score overall. (F &amp; H).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 title="" id="31" name="Picture"/>
            <a:graphic>
              <a:graphicData uri="http://schemas.openxmlformats.org/drawingml/2006/picture">
                <pic:pic>
                  <pic:nvPicPr>
                    <pic:cNvPr descr="../output/figs/overall_scores/overall_score_comparison_ne.png" id="32" name="Picture"/>
                    <pic:cNvPicPr>
                      <a:picLocks noChangeArrowheads="1" noChangeAspect="1"/>
                    </pic:cNvPicPr>
                  </pic:nvPicPr>
                  <pic:blipFill>
                    <a:blip r:embed="rId30"/>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S4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poorer performance. (E &amp; G). Absolute energy score overall. (F &amp; H).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w:t>
      </w:r>
    </w:p>
    <w:p>
      <w:pPr>
        <w:pStyle w:val="CaptionedFigure"/>
      </w:pPr>
      <w:r>
        <w:drawing>
          <wp:inline>
            <wp:extent cx="5334000" cy="6667500"/>
            <wp:effectExtent b="0" l="0" r="0" t="0"/>
            <wp:docPr descr="Fig. S5 Score comparison of the absolute and relative Brier and energy scores across nowcast dates and horizons for each location, including days when s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 &lt; 1 indicates improved performance over the Hub-baseline, RSS &gt; 1 indicates reduced performance. C. Absolute energy score averaged across nowcast dates and target dates for each jurisdiction. Energy scores are computed using the full predictive distribution submitted. D. Relative scaled skill on the Energy score versus the Hub-baseline. E. Total number of sequences collected and submitted by the time of the final evaluation dataset for each jurisdiction, ordered by the total number. Y-axis is in log scale. Color indicates model." title="" id="34" name="Picture"/>
            <a:graphic>
              <a:graphicData uri="http://schemas.openxmlformats.org/drawingml/2006/picture">
                <pic:pic>
                  <pic:nvPicPr>
                    <pic:cNvPr descr="../output/figs/overall_scores/by_location_ne.png" id="35" name="Picture"/>
                    <pic:cNvPicPr>
                      <a:picLocks noChangeArrowheads="1" noChangeAspect="1"/>
                    </pic:cNvPicPr>
                  </pic:nvPicPr>
                  <pic:blipFill>
                    <a:blip r:embed="rId33"/>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S5 Score comparison of the absolute and relative Brier and energy scores across nowcast dates and horizons for each location, including days when sequences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reduced performance. C. Absolute energy score averaged across nowcast dates and target dates for each jurisdiction. Energy scores are computed using the full predictive distribution submitted. D. Relative scaled skill on the Energy score versus the Hub-baseline. E. Total number of sequences collected and submitted by the time of the final evaluation dataset for each jurisdiction, ordered by the total number. Y-axis is in log scale. Color indicates model.</w:t>
      </w:r>
    </w:p>
    <w:p>
      <w:pPr>
        <w:pStyle w:val="CaptionedFigure"/>
      </w:pPr>
      <w:r>
        <w:drawing>
          <wp:inline>
            <wp:extent cx="5334000" cy="6667500"/>
            <wp:effectExtent b="0" l="0" r="0" t="0"/>
            <wp:docPr descr="Fig. S6 Score comparison by nowcast date stratified by the US excluding California (left) and California (right). (A &amp; B). Absolute Brier score at each nowcast date. (C &amp; D). Relative scaled skill on the Brier score at each nowcast date. RSS $&lt;$ 1 indicates improved performance over the Hub-baseline, RSS $&gt;$ 1 indicates reduced performance. (E &amp; F). Absolute energy score at each nowcast date. (G &amp; H). Relative scaled skill on the energy score at each nowcast date. (I &amp; J). Number of sequences available within the nowcast period. (K &amp; L). Number of sequences for evaluation by nowcast date." title="" id="37" name="Picture"/>
            <a:graphic>
              <a:graphicData uri="http://schemas.openxmlformats.org/drawingml/2006/picture">
                <pic:pic>
                  <pic:nvPicPr>
                    <pic:cNvPr descr="../output/figs/overall_scores/by_nowcast_date_ne.png" id="38" name="Picture"/>
                    <pic:cNvPicPr>
                      <a:picLocks noChangeArrowheads="1" noChangeAspect="1"/>
                    </pic:cNvPicPr>
                  </pic:nvPicPr>
                  <pic:blipFill>
                    <a:blip r:embed="rId36"/>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S6 Score comparison by nowcast date stratified by the US excluding California (left) and California (right). (A &amp; B). Absolute Brier score at each nowcast date. (C &amp; D). Relative scaled skill on the Brier score at each nowcast date. RSS $&lt;$ 1 indicates improved performance over the Hub-baseline, RSS $&gt;$ 1 indicates reduced performance. (E &amp; F). Absolute energy score at each nowcast date. (G &amp; H). Relative scaled skill on the energy score at each nowcast date. (I &amp; J). Number of sequences available within the nowcast period. (K &amp; L). Number of sequences for evaluation by nowcast date.</w:t>
      </w:r>
    </w:p>
    <w:p>
      <w:pPr>
        <w:pStyle w:val="CaptionedFigure"/>
      </w:pPr>
      <w:r>
        <w:drawing>
          <wp:inline>
            <wp:extent cx="5334000" cy="3556000"/>
            <wp:effectExtent b="0" l="0" r="0" t="0"/>
            <wp:docPr descr="Fig. S7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title="" id="40" name="Picture"/>
            <a:graphic>
              <a:graphicData uri="http://schemas.openxmlformats.org/drawingml/2006/picture">
                <pic:pic>
                  <pic:nvPicPr>
                    <pic:cNvPr descr="../output/figs/data_figs/supp/bar_chart_all_seq_counts_final.png" id="41"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S7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w:t>
      </w:r>
    </w:p>
    <w:p>
      <w:pPr>
        <w:pStyle w:val="CaptionedFigure"/>
      </w:pPr>
      <w:r>
        <w:drawing>
          <wp:inline>
            <wp:extent cx="5334000" cy="4267200"/>
            <wp:effectExtent b="0" l="0" r="0" t="0"/>
            <wp:docPr descr="Fig. S8 Evaluation sequence counts by location and nowcast date. Color indicates the total number of sequences available in the evaluation data (log scale) for each location and nowcast date combination. Gray tiles indicate nowcast date-location pairs with no sequences across all horizons. Locations are ordered by the total number of final evaluation sequences (lowest at the top, highest at the bottom)." title="" id="43" name="Picture"/>
            <a:graphic>
              <a:graphicData uri="http://schemas.openxmlformats.org/drawingml/2006/picture">
                <pic:pic>
                  <pic:nvPicPr>
                    <pic:cNvPr descr="../output/figs/metadata/supp/eval_sequence_counts_heatmap.png" id="44"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S8 Evaluation sequence counts by location and nowcast date. Color indicates the total number of sequences available in the evaluation data (log scale) for each location and nowcast date combination. Gray tiles indicate nowcast date-location pairs with no sequences across all horizons. Locations are ordered by the total number of final evaluation sequences (lowest at the top, highest at the bottom).</w:t>
      </w:r>
    </w:p>
    <w:p>
      <w:pPr>
        <w:pStyle w:val="CaptionedFigure"/>
      </w:pPr>
      <w:r>
        <w:drawing>
          <wp:inline>
            <wp:extent cx="5334000" cy="6667499"/>
            <wp:effectExtent b="0" l="0" r="0" t="0"/>
            <wp:docPr descr="Fig. S9 Weekly SARS-CoV-2 variant dynamics in the California from September 2nd, 2024 to June 14th, 2025 using the final set of sequences available 90 days after the last nowcast date. A. Final observed weekly clade frequencies. B. Number of weekly sequences collected colored by clade. C. Weekly percent of emergency department (ED) visits due to COVID-19 in California." title="" id="46" name="Picture"/>
            <a:graphic>
              <a:graphicData uri="http://schemas.openxmlformats.org/drawingml/2006/picture">
                <pic:pic>
                  <pic:nvPicPr>
                    <pic:cNvPr descr="../output/figs/data_figs/supp/final_seq_data_ex1.png" id="47" name="Picture"/>
                    <pic:cNvPicPr>
                      <a:picLocks noChangeArrowheads="1" noChangeAspect="1"/>
                    </pic:cNvPicPr>
                  </pic:nvPicPr>
                  <pic:blipFill>
                    <a:blip r:embed="rId45"/>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S9 Weekly SARS-CoV-2 variant dynamics in the California from September 2nd, 2024 to June 14th, 2025 using the final set of sequences available 90 days after the last nowcast date. A. Final observed weekly clade frequencies. B. Number of weekly sequences collected colored by clade. C. Weekly percent of emergency department (ED) visits due to COVID-19 in California.</w:t>
      </w:r>
    </w:p>
    <w:p>
      <w:pPr>
        <w:pStyle w:val="CaptionedFigure"/>
      </w:pPr>
      <w:r>
        <w:drawing>
          <wp:inline>
            <wp:extent cx="5334000" cy="6667499"/>
            <wp:effectExtent b="0" l="0" r="0" t="0"/>
            <wp:docPr descr="Fig. S10 Weekly SARS-CoV-2 variant dynamics in the Illinois from September 2nd, 2024 to June 14th, 2025 using the final set of sequences available 90 days after the last nowcast date. A. Final observed weekly clade frequencies. B. Number of weekly sequences collected colored by clade. C. Weekly percent of emergency department (ED) visits due to COVID-19 in Illinois." title="" id="49" name="Picture"/>
            <a:graphic>
              <a:graphicData uri="http://schemas.openxmlformats.org/drawingml/2006/picture">
                <pic:pic>
                  <pic:nvPicPr>
                    <pic:cNvPr descr="../output/figs/data_figs/supp/final_seq_data_ex2.png" id="50" name="Picture"/>
                    <pic:cNvPicPr>
                      <a:picLocks noChangeArrowheads="1" noChangeAspect="1"/>
                    </pic:cNvPicPr>
                  </pic:nvPicPr>
                  <pic:blipFill>
                    <a:blip r:embed="rId48"/>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S10 Weekly SARS-CoV-2 variant dynamics in the Illinois from September 2nd, 2024 to June 14th, 2025 using the final set of sequences available 90 days after the last nowcast date. A. Final observed weekly clade frequencies. B. Number of weekly sequences collected colored by clade. C. Weekly percent of emergency department (ED) visits due to COVID-19 in Illinois.</w:t>
      </w:r>
    </w:p>
    <w:p>
      <w:pPr>
        <w:pStyle w:val="CaptionedFigure"/>
      </w:pPr>
      <w:r>
        <w:drawing>
          <wp:inline>
            <wp:extent cx="5334000" cy="6667499"/>
            <wp:effectExtent b="0" l="0" r="0" t="0"/>
            <wp:docPr descr="Fig. S11 Weekly SARS-CoV-2 variant dynamics in the Minnesota from September 2nd, 2024 to June 14th, 2025 using the final set of sequences available 90 days after the last nowcast date. A. Final observed weekly clade frequencies. B. Number of weekly sequences collected colored by clade. C. Weekly percent of emergency department (ED) visits due to COVID-19 in Minnesota." title="" id="52" name="Picture"/>
            <a:graphic>
              <a:graphicData uri="http://schemas.openxmlformats.org/drawingml/2006/picture">
                <pic:pic>
                  <pic:nvPicPr>
                    <pic:cNvPr descr="../output/figs/data_figs/supp/final_seq_data_ex3.png" id="53" name="Picture"/>
                    <pic:cNvPicPr>
                      <a:picLocks noChangeArrowheads="1" noChangeAspect="1"/>
                    </pic:cNvPicPr>
                  </pic:nvPicPr>
                  <pic:blipFill>
                    <a:blip r:embed="rId5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S11 Weekly SARS-CoV-2 variant dynamics in the Minnesota from September 2nd, 2024 to June 14th, 2025 using the final set of sequences available 90 days after the last nowcast date. A. Final observed weekly clade frequencies. B. Number of weekly sequences collected colored by clade. C. Weekly percent of emergency department (ED) visits due to COVID-19 in Minnesota.</w:t>
      </w:r>
    </w:p>
    <w:p>
      <w:pPr>
        <w:pStyle w:val="CaptionedFigure"/>
      </w:pPr>
      <w:r>
        <w:drawing>
          <wp:inline>
            <wp:extent cx="5334000" cy="5334000"/>
            <wp:effectExtent b="0" l="0" r="0" t="0"/>
            <wp:docPr descr="Fig. S12 Dynamics of 25A emergence across 10 jursidictions with the highest level of sequencing, using the final data available at the last evaluation date." title="" id="55" name="Picture"/>
            <a:graphic>
              <a:graphicData uri="http://schemas.openxmlformats.org/drawingml/2006/picture">
                <pic:pic>
                  <pic:nvPicPr>
                    <pic:cNvPr descr="../output/figs/eda/plot_25A_emergence.png"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S12 Dynamics of 25A emergence across 10 jursidictions with the highest level of sequencing, using the final data available at the last evaluation date.</w:t>
      </w:r>
    </w:p>
    <w:p>
      <w:pPr>
        <w:pStyle w:val="CaptionedFigure"/>
      </w:pPr>
      <w:r>
        <w:drawing>
          <wp:inline>
            <wp:extent cx="5334000" cy="6223000"/>
            <wp:effectExtent b="0" l="0" r="0" t="0"/>
            <wp:docPr descr="Fig. S13 Model nowcasts for the CADPH-CATaLog model from February 19th, 2025. Colors indicate clade, dashed vertical line indicates the nowcast date." title="" id="58" name="Picture"/>
            <a:graphic>
              <a:graphicData uri="http://schemas.openxmlformats.org/drawingml/2006/picture">
                <pic:pic>
                  <pic:nvPicPr>
                    <pic:cNvPr descr="../output/figs/nowcasts/supp/fig_model_nowcasts_CADPH.png" id="59" name="Picture"/>
                    <pic:cNvPicPr>
                      <a:picLocks noChangeArrowheads="1" noChangeAspect="1"/>
                    </pic:cNvPicPr>
                  </pic:nvPicPr>
                  <pic:blipFill>
                    <a:blip r:embed="rId5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 S13 Model nowcasts for the CADPH-CATaLog model from February 19th, 2025. Colors indicate clade, dashed vertical line indicates the nowcast date.</w:t>
      </w:r>
    </w:p>
    <w:p>
      <w:pPr>
        <w:pStyle w:val="CaptionedFigure"/>
      </w:pPr>
      <w:r>
        <w:drawing>
          <wp:inline>
            <wp:extent cx="5334000" cy="6667499"/>
            <wp:effectExtent b="0" l="0" r="0" t="0"/>
            <wp:docPr descr="Fig. S14 Model submission coverage by location and nowcast date for each participating model. Tiles colored by model-specific colors indicate dates and locations where the model submitted a forecast. Gray tiles indicate missing submissions. Locations are ordered by the total number of final evaluation sequences (lowest at the top, highest at the bottom)." title="" id="61" name="Picture"/>
            <a:graphic>
              <a:graphicData uri="http://schemas.openxmlformats.org/drawingml/2006/picture">
                <pic:pic>
                  <pic:nvPicPr>
                    <pic:cNvPr descr="../output/figs/metadata/supp/submission_heatmaps_by_model.png" id="62" name="Picture"/>
                    <pic:cNvPicPr>
                      <a:picLocks noChangeArrowheads="1" noChangeAspect="1"/>
                    </pic:cNvPicPr>
                  </pic:nvPicPr>
                  <pic:blipFill>
                    <a:blip r:embed="rId6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S14 Model submission coverage by location and nowcast date for each participating model. Tiles colored by model-specific colors indicate dates and locations where the model submitted a forecast. Gray tiles indicate missing submissions. Locations are ordered by the total number of final evaluation sequences (lowest at the top, highest at the bottom).</w:t>
      </w:r>
    </w:p>
    <w:p>
      <w:pPr>
        <w:pStyle w:val="CaptionedFigure"/>
      </w:pPr>
      <w:r>
        <w:drawing>
          <wp:inline>
            <wp:extent cx="5334000" cy="4267200"/>
            <wp:effectExtent b="0" l="0" r="0" t="0"/>
            <wp:docPr descr="Fig. S15 Summary of model submission coverage across all models. Color indicates the number of models that submitted forecasts for each location and nowcast date combination, ranging from 0 (no models) to 6 (all models). Locations are ordered by the total number of final evaluation sequences (lowest at the top, highest at the bottom)." title="" id="64" name="Picture"/>
            <a:graphic>
              <a:graphicData uri="http://schemas.openxmlformats.org/drawingml/2006/picture">
                <pic:pic>
                  <pic:nvPicPr>
                    <pic:cNvPr descr="../output/figs/metadata/supp/submission_heatmaps_summary.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S15 Summary of model submission coverage across all models. Color indicates the number of models that submitted forecasts for each location and nowcast date combination, ranging from 0 (no models) to 6 (all models). Locations are ordered by the total number of final evaluation sequences (lowest at the top, highest at the bottom).</w:t>
      </w:r>
    </w:p>
    <w:p>
      <w:pPr>
        <w:pStyle w:val="CaptionedFigure"/>
      </w:pPr>
      <w:r>
        <w:drawing>
          <wp:inline>
            <wp:extent cx="5334000" cy="6667499"/>
            <wp:effectExtent b="0" l="0" r="0" t="0"/>
            <wp:docPr descr="Fig. S16 Comparison of relative scaled skill computed using the overlapping set of horizons (circles), nowcast dates and locations versus the average of relative scaled skill scores on the Brier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67" name="Picture"/>
            <a:graphic>
              <a:graphicData uri="http://schemas.openxmlformats.org/drawingml/2006/picture">
                <pic:pic>
                  <pic:nvPicPr>
                    <pic:cNvPr descr="../output/figs/supp/avg_rel_skill_brier.png" id="68" name="Picture"/>
                    <pic:cNvPicPr>
                      <a:picLocks noChangeArrowheads="1" noChangeAspect="1"/>
                    </pic:cNvPicPr>
                  </pic:nvPicPr>
                  <pic:blipFill>
                    <a:blip r:embed="rId6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S16 Comparison of relative scaled skill computed using the overlapping set of horizons (circles), nowcast dates and locations versus the average of relative scaled skill scores on the Brier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6667499"/>
            <wp:effectExtent b="0" l="0" r="0" t="0"/>
            <wp:docPr descr="Fig. S17 Comparison of relative scaled skill computed using the overlapping set of horizons (circles), nowcast dates and locations versus the average of relative scaled skill scores on the energy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70" name="Picture"/>
            <a:graphic>
              <a:graphicData uri="http://schemas.openxmlformats.org/drawingml/2006/picture">
                <pic:pic>
                  <pic:nvPicPr>
                    <pic:cNvPr descr="../output/figs/supp/avg_rel_skill_energy.png" id="71" name="Picture"/>
                    <pic:cNvPicPr>
                      <a:picLocks noChangeArrowheads="1" noChangeAspect="1"/>
                    </pic:cNvPicPr>
                  </pic:nvPicPr>
                  <pic:blipFill>
                    <a:blip r:embed="rId69"/>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S17 Comparison of relative scaled skill computed using the overlapping set of horizons (circles), nowcast dates and locations versus the average of relative scaled skill scores on the energy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3556000"/>
            <wp:effectExtent b="0" l="0" r="0" t="0"/>
            <wp:docPr descr="Fig. S18 Heatmap of scaled relative skill scores on the Brier score across nowcast dates and locations for each model." title="" id="73" name="Picture"/>
            <a:graphic>
              <a:graphicData uri="http://schemas.openxmlformats.org/drawingml/2006/picture">
                <pic:pic>
                  <pic:nvPicPr>
                    <pic:cNvPr descr="../output/figs/supp/heatmap_rel_skill_brier.png" id="74" name="Picture"/>
                    <pic:cNvPicPr>
                      <a:picLocks noChangeArrowheads="1" noChangeAspect="1"/>
                    </pic:cNvPicPr>
                  </pic:nvPicPr>
                  <pic:blipFill>
                    <a:blip r:embed="rId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S18 Heatmap of scaled relative skill scores on the Brier score across nowcast dates and locations for each model.</w:t>
      </w:r>
    </w:p>
    <w:p>
      <w:pPr>
        <w:pStyle w:val="CaptionedFigure"/>
      </w:pPr>
      <w:r>
        <w:drawing>
          <wp:inline>
            <wp:extent cx="5334000" cy="4267200"/>
            <wp:effectExtent b="0" l="0" r="0" t="0"/>
            <wp:docPr descr="Fig. S19 Histogram of the distribution of scaled relative skill scores on the Brier score across nowcast dates and locations for each model." title="" id="76" name="Picture"/>
            <a:graphic>
              <a:graphicData uri="http://schemas.openxmlformats.org/drawingml/2006/picture">
                <pic:pic>
                  <pic:nvPicPr>
                    <pic:cNvPr descr="../output/figs/supp/distrib_rel_skill_brier.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S19 Histogram of the distribution of scaled relative skill scores on the Brier score across nowcast dates and locations for each model.</w:t>
      </w:r>
    </w:p>
    <w:p>
      <w:pPr>
        <w:pStyle w:val="CaptionedFigure"/>
      </w:pPr>
      <w:r>
        <w:drawing>
          <wp:inline>
            <wp:extent cx="5334000" cy="3556000"/>
            <wp:effectExtent b="0" l="0" r="0" t="0"/>
            <wp:docPr descr="Fig. S20 Heatmap of scaled relative skill scores on the energy score across nowcast dates and locations for each model. Higher scaled relative skill (red) indicates degraded performance compared to the baseline, lower scaled relative skill indicates improved performance." title="" id="79" name="Picture"/>
            <a:graphic>
              <a:graphicData uri="http://schemas.openxmlformats.org/drawingml/2006/picture">
                <pic:pic>
                  <pic:nvPicPr>
                    <pic:cNvPr descr="../output/figs/supp/heatmap_rel_skill_energy.png" id="80" name="Picture"/>
                    <pic:cNvPicPr>
                      <a:picLocks noChangeArrowheads="1" noChangeAspect="1"/>
                    </pic:cNvPicPr>
                  </pic:nvPicPr>
                  <pic:blipFill>
                    <a:blip r:embed="rId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S20 Heatmap of scaled relative skill scores on the energy score across nowcast dates and locations for each model. Higher scaled relative skill (red) indicates degraded performance compared to the baseline, lower scaled relative skill indicates improved performance.</w:t>
      </w:r>
    </w:p>
    <w:p>
      <w:pPr>
        <w:pStyle w:val="CaptionedFigure"/>
      </w:pPr>
      <w:r>
        <w:drawing>
          <wp:inline>
            <wp:extent cx="5334000" cy="4267200"/>
            <wp:effectExtent b="0" l="0" r="0" t="0"/>
            <wp:docPr descr="Fig. S21 Histogram of the distribution of scaled relative skill scores on the energy score across nowcast dates and locations for each model." title="" id="82" name="Picture"/>
            <a:graphic>
              <a:graphicData uri="http://schemas.openxmlformats.org/drawingml/2006/picture">
                <pic:pic>
                  <pic:nvPicPr>
                    <pic:cNvPr descr="../output/figs/supp/distrib_rel_skill_energy.png" id="83"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S21 Histogram of the distribution of scaled relative skill scores on the energy score across nowcast dates and locations for each model.</w:t>
      </w:r>
    </w:p>
    <w:p>
      <w:pPr>
        <w:pStyle w:val="CaptionedFigure"/>
      </w:pPr>
      <w:r>
        <w:drawing>
          <wp:inline>
            <wp:extent cx="5334000" cy="6667499"/>
            <wp:effectExtent b="0" l="0" r="0" t="0"/>
            <wp:docPr descr="Fig. S22 Comparison of relative scaled skill computed using the overlapping set of horizons (circles), nowcast dates and locations versus the average of relative scaled skill scores on the Brier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85" name="Picture"/>
            <a:graphic>
              <a:graphicData uri="http://schemas.openxmlformats.org/drawingml/2006/picture">
                <pic:pic>
                  <pic:nvPicPr>
                    <pic:cNvPr descr="../output/figs/supp/avg_rel_skill_brier_ca.png" id="86" name="Picture"/>
                    <pic:cNvPicPr>
                      <a:picLocks noChangeArrowheads="1" noChangeAspect="1"/>
                    </pic:cNvPicPr>
                  </pic:nvPicPr>
                  <pic:blipFill>
                    <a:blip r:embed="rId8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S22 Comparison of relative scaled skill computed using the overlapping set of horizons (circles), nowcast dates and locations versus the average of relative scaled skill scores on the Brier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6667499"/>
            <wp:effectExtent b="0" l="0" r="0" t="0"/>
            <wp:docPr descr="Fig. S23 Comparison of relative scaled skill computed using the overlapping set of horizons (circles), nowcast dates and locations versus the average of relative scaled skill scores on the energy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88" name="Picture"/>
            <a:graphic>
              <a:graphicData uri="http://schemas.openxmlformats.org/drawingml/2006/picture">
                <pic:pic>
                  <pic:nvPicPr>
                    <pic:cNvPr descr="../output/figs/supp/avg_rel_skill_energy_ca.png" id="89" name="Picture"/>
                    <pic:cNvPicPr>
                      <a:picLocks noChangeArrowheads="1" noChangeAspect="1"/>
                    </pic:cNvPicPr>
                  </pic:nvPicPr>
                  <pic:blipFill>
                    <a:blip r:embed="rId8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S23 Comparison of relative scaled skill computed using the overlapping set of horizons (circles), nowcast dates and locations versus the average of relative scaled skill scores on the energy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3200399"/>
            <wp:effectExtent b="0" l="0" r="0" t="0"/>
            <wp:docPr descr="Fig. S24 Comparison of the observed clade proportions by sequence collection week across nowcast dates (columns) in the California COVIDNet data (top row) and the GenBank data provided by the Hub and used by most other models (bottom row). Colors indicate clade, dashed line indicates the nowcast date. In most weeks, the California COVIDNet data has observed clade proportions for a more recent week than the GenBank dataset does for California." title="" id="91" name="Picture"/>
            <a:graphic>
              <a:graphicData uri="http://schemas.openxmlformats.org/drawingml/2006/picture">
                <pic:pic>
                  <pic:nvPicPr>
                    <pic:cNvPr descr="../output/figs/supp/CA_source_seq_props.png" id="92" name="Picture"/>
                    <pic:cNvPicPr>
                      <a:picLocks noChangeArrowheads="1" noChangeAspect="1"/>
                    </pic:cNvPicPr>
                  </pic:nvPicPr>
                  <pic:blipFill>
                    <a:blip r:embed="rId90"/>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 S24 Comparison of the observed clade proportions by sequence collection week across nowcast dates (columns) in the California COVIDNet data (top row) and the GenBank data provided by the Hub and used by most other models (bottom row). Colors indicate clade, dashed line indicates the nowcast date. In most weeks, the California COVIDNet data has observed clade proportions for a more recent week than the GenBank dataset does for California.</w:t>
      </w:r>
    </w:p>
    <w:p>
      <w:pPr>
        <w:pStyle w:val="CaptionedFigure"/>
      </w:pPr>
      <w:r>
        <w:drawing>
          <wp:inline>
            <wp:extent cx="5334000" cy="2133600"/>
            <wp:effectExtent b="0" l="0" r="0" t="0"/>
            <wp:docPr descr="Fig. S25 Ratio of the number of sequences available in the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 title="" id="94" name="Picture"/>
            <a:graphic>
              <a:graphicData uri="http://schemas.openxmlformats.org/drawingml/2006/picture">
                <pic:pic>
                  <pic:nvPicPr>
                    <pic:cNvPr descr="../output/figs/supp/CA_source_seq_level_comparison.png" id="95" name="Picture"/>
                    <pic:cNvPicPr>
                      <a:picLocks noChangeArrowheads="1" noChangeAspect="1"/>
                    </pic:cNvPicPr>
                  </pic:nvPicPr>
                  <pic:blipFill>
                    <a:blip r:embed="rId93"/>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S25 Ratio of the number of sequences available in the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w:t>
      </w:r>
    </w:p>
    <w:p>
      <w:pPr>
        <w:pStyle w:val="CaptionedFigure"/>
      </w:pPr>
      <w:r>
        <w:drawing>
          <wp:inline>
            <wp:extent cx="5334000" cy="3048000"/>
            <wp:effectExtent b="0" l="0" r="0" t="0"/>
            <wp:docPr descr="Fig. S26 Absolute Brier (top) and energy (bottom) in the U.S. excluding California (left) and California (right) by horizon." title="" id="97" name="Picture"/>
            <a:graphic>
              <a:graphicData uri="http://schemas.openxmlformats.org/drawingml/2006/picture">
                <pic:pic>
                  <pic:nvPicPr>
                    <pic:cNvPr descr="../output/figs/overall_scores/supp/absolute_scores_by_horizon.png" id="98" name="Picture"/>
                    <pic:cNvPicPr>
                      <a:picLocks noChangeArrowheads="1" noChangeAspect="1"/>
                    </pic:cNvPicPr>
                  </pic:nvPicPr>
                  <pic:blipFill>
                    <a:blip r:embed="rId9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 S26 Absolute Brier (top) and energy (bottom) in the U.S. excluding California (left) and California (right) by horizon.</w:t>
      </w:r>
    </w:p>
    <w:p>
      <w:pPr>
        <w:pStyle w:val="CaptionedFigure"/>
      </w:pPr>
      <w:r>
        <w:drawing>
          <wp:inline>
            <wp:extent cx="5334000" cy="4000499"/>
            <wp:effectExtent b="0" l="0" r="0" t="0"/>
            <wp:docPr descr="Fig. S27 Bias over time for three example states in the US during the 25A emergence." title="" id="100" name="Picture"/>
            <a:graphic>
              <a:graphicData uri="http://schemas.openxmlformats.org/drawingml/2006/picture">
                <pic:pic>
                  <pic:nvPicPr>
                    <pic:cNvPr descr="../output/figs/zoom_25A/supp/bias_over_time_25A.png" id="101" name="Picture"/>
                    <pic:cNvPicPr>
                      <a:picLocks noChangeArrowheads="1" noChangeAspect="1"/>
                    </pic:cNvPicPr>
                  </pic:nvPicPr>
                  <pic:blipFill>
                    <a:blip r:embed="rId99"/>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 S27 Bias over time for three example states in the US during the 25A emergence.</w:t>
      </w:r>
    </w:p>
    <w:bookmarkEnd w:id="10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96" Target="media/rId96.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66" Target="media/rId66.png" /><Relationship Type="http://schemas.openxmlformats.org/officeDocument/2006/relationships/image" Id="rId84" Target="media/rId84.png" /><Relationship Type="http://schemas.openxmlformats.org/officeDocument/2006/relationships/image" Id="rId69" Target="media/rId69.png" /><Relationship Type="http://schemas.openxmlformats.org/officeDocument/2006/relationships/image" Id="rId87" Target="media/rId87.png" /><Relationship Type="http://schemas.openxmlformats.org/officeDocument/2006/relationships/image" Id="rId21" Target="media/rId21.jp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27" Target="media/rId27.png" /><Relationship Type="http://schemas.openxmlformats.org/officeDocument/2006/relationships/image" Id="rId24" Target="media/rId24.png" /><Relationship Type="http://schemas.openxmlformats.org/officeDocument/2006/relationships/image" Id="rId99" Target="media/rId9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 of SARS-CoV-2 variant nowcasting in the U.S.</dc:title>
  <dc:creator/>
  <cp:keywords/>
  <dcterms:created xsi:type="dcterms:W3CDTF">2026-02-19T13:35:19Z</dcterms:created>
  <dcterms:modified xsi:type="dcterms:W3CDTF">2026-02-19T13:35:19Z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